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"/>
        <w:gridCol w:w="71"/>
        <w:gridCol w:w="4607"/>
      </w:tblGrid>
      <w:tr w:rsidR="008C4BBB" w14:paraId="56703425" w14:textId="77777777" w:rsidTr="00A50986">
        <w:trPr>
          <w:trHeight w:val="57"/>
        </w:trPr>
        <w:tc>
          <w:tcPr>
            <w:tcW w:w="5529" w:type="dxa"/>
            <w:gridSpan w:val="2"/>
            <w:vMerge w:val="restart"/>
            <w:tcBorders>
              <w:top w:val="single" w:sz="48" w:space="0" w:color="CF2453" w:themeColor="accent1"/>
            </w:tcBorders>
          </w:tcPr>
          <w:p w14:paraId="16FD9DF3" w14:textId="6A33B9FD" w:rsidR="00012CD6" w:rsidRPr="00426F10" w:rsidRDefault="00012CD6" w:rsidP="00CD698B">
            <w:pPr>
              <w:pStyle w:val="Heading1"/>
              <w:spacing w:after="360"/>
              <w:outlineLvl w:val="0"/>
              <w:rPr>
                <w:sz w:val="56"/>
                <w:szCs w:val="56"/>
              </w:rPr>
            </w:pPr>
            <w:r w:rsidRPr="00426F10">
              <w:rPr>
                <w:sz w:val="40"/>
                <w:szCs w:val="40"/>
              </w:rPr>
              <w:t xml:space="preserve">Teaching Assistants and SEND Settings: Maximising Impact and Progression for Learners in Science </w:t>
            </w:r>
          </w:p>
          <w:p w14:paraId="1D173999" w14:textId="48F4CE4C" w:rsidR="008C4BBB" w:rsidRPr="00A50986" w:rsidRDefault="008C4BBB" w:rsidP="00EA3D77">
            <w:pPr>
              <w:rPr>
                <w:sz w:val="20"/>
                <w:szCs w:val="20"/>
              </w:rPr>
            </w:pPr>
            <w:r w:rsidRPr="00A50986">
              <w:rPr>
                <w:sz w:val="20"/>
                <w:szCs w:val="20"/>
              </w:rPr>
              <w:t xml:space="preserve">This </w:t>
            </w:r>
            <w:r w:rsidR="00AA78AE">
              <w:rPr>
                <w:sz w:val="20"/>
                <w:szCs w:val="20"/>
              </w:rPr>
              <w:t xml:space="preserve">programme of </w:t>
            </w:r>
            <w:proofErr w:type="gramStart"/>
            <w:r w:rsidR="00AA78AE">
              <w:rPr>
                <w:sz w:val="20"/>
                <w:szCs w:val="20"/>
              </w:rPr>
              <w:t>one hour</w:t>
            </w:r>
            <w:proofErr w:type="gramEnd"/>
            <w:r w:rsidR="00AA78AE">
              <w:rPr>
                <w:sz w:val="20"/>
                <w:szCs w:val="20"/>
              </w:rPr>
              <w:t xml:space="preserve"> workshops </w:t>
            </w:r>
            <w:r w:rsidRPr="00A50986">
              <w:rPr>
                <w:sz w:val="20"/>
                <w:szCs w:val="20"/>
              </w:rPr>
              <w:t>introduces delegates to a range of practical strategies that they can take and use in their own settings for improving</w:t>
            </w:r>
            <w:r w:rsidR="00AA78AE">
              <w:rPr>
                <w:sz w:val="20"/>
                <w:szCs w:val="20"/>
              </w:rPr>
              <w:t xml:space="preserve"> the</w:t>
            </w:r>
            <w:r w:rsidRPr="00A50986">
              <w:rPr>
                <w:sz w:val="20"/>
                <w:szCs w:val="20"/>
              </w:rPr>
              <w:t xml:space="preserve"> learning and progress of learners with special educational needs.  </w:t>
            </w:r>
          </w:p>
          <w:p w14:paraId="1F0965DF" w14:textId="1F2F7C60" w:rsidR="008C4BBB" w:rsidRPr="00A50986" w:rsidRDefault="008C4BBB" w:rsidP="00EA3D77">
            <w:pPr>
              <w:rPr>
                <w:sz w:val="20"/>
                <w:szCs w:val="20"/>
              </w:rPr>
            </w:pPr>
            <w:r w:rsidRPr="00A50986">
              <w:rPr>
                <w:sz w:val="20"/>
                <w:szCs w:val="20"/>
              </w:rPr>
              <w:t xml:space="preserve">Delegates attending this programme will be enrolled in a private online community group for them to carry on the discussion and ask questions between </w:t>
            </w:r>
            <w:r w:rsidR="00AA78AE">
              <w:rPr>
                <w:sz w:val="20"/>
                <w:szCs w:val="20"/>
              </w:rPr>
              <w:t>session</w:t>
            </w:r>
            <w:r w:rsidRPr="00A50986">
              <w:rPr>
                <w:sz w:val="20"/>
                <w:szCs w:val="20"/>
              </w:rPr>
              <w:t xml:space="preserve">s. This programme is aimed at adults who support learners in </w:t>
            </w:r>
            <w:proofErr w:type="gramStart"/>
            <w:r w:rsidRPr="00A50986">
              <w:rPr>
                <w:sz w:val="20"/>
                <w:szCs w:val="20"/>
              </w:rPr>
              <w:t>Science</w:t>
            </w:r>
            <w:proofErr w:type="gramEnd"/>
            <w:r w:rsidRPr="00A50986">
              <w:rPr>
                <w:sz w:val="20"/>
                <w:szCs w:val="20"/>
              </w:rPr>
              <w:t xml:space="preserve"> lessons, both teachers and teaching assistants. It would also be of benefit to early career stage teachers who want to improve their teaching of learners with special educational needs.</w:t>
            </w:r>
          </w:p>
          <w:p w14:paraId="10E49D08" w14:textId="0243F6D5" w:rsidR="008C4BBB" w:rsidRPr="00A50986" w:rsidRDefault="008C4BBB" w:rsidP="00EA3D77">
            <w:pPr>
              <w:rPr>
                <w:sz w:val="20"/>
                <w:szCs w:val="20"/>
              </w:rPr>
            </w:pPr>
            <w:r w:rsidRPr="00A50986">
              <w:rPr>
                <w:sz w:val="20"/>
                <w:szCs w:val="20"/>
              </w:rPr>
              <w:t>The £120 activity fee allows school access to the full programme rather than access for just one individual. It is possible to book individual</w:t>
            </w:r>
            <w:r w:rsidR="004521E6">
              <w:rPr>
                <w:sz w:val="20"/>
                <w:szCs w:val="20"/>
              </w:rPr>
              <w:t xml:space="preserve"> workshop</w:t>
            </w:r>
            <w:r w:rsidRPr="00A50986">
              <w:rPr>
                <w:sz w:val="20"/>
                <w:szCs w:val="20"/>
              </w:rPr>
              <w:t xml:space="preserve"> sessions.</w:t>
            </w:r>
          </w:p>
          <w:p w14:paraId="285A1A58" w14:textId="1195430F" w:rsidR="008C4BBB" w:rsidRPr="00CF442B" w:rsidRDefault="008C4BBB" w:rsidP="00296FD6">
            <w:pPr>
              <w:pStyle w:val="Heading2"/>
              <w:spacing w:before="240"/>
              <w:outlineLvl w:val="1"/>
              <w:rPr>
                <w:sz w:val="28"/>
                <w:szCs w:val="28"/>
              </w:rPr>
            </w:pPr>
            <w:r w:rsidRPr="00CF442B">
              <w:rPr>
                <w:sz w:val="28"/>
                <w:szCs w:val="28"/>
              </w:rPr>
              <w:t>Outcomes</w:t>
            </w:r>
          </w:p>
          <w:p w14:paraId="39678D9F" w14:textId="77777777" w:rsidR="008C4BBB" w:rsidRPr="00A50986" w:rsidRDefault="008C4BBB" w:rsidP="00304F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0986">
              <w:rPr>
                <w:sz w:val="20"/>
                <w:szCs w:val="20"/>
              </w:rPr>
              <w:t>Identify the barriers to learning faced by students with special educational needs</w:t>
            </w:r>
          </w:p>
          <w:p w14:paraId="54B0DA03" w14:textId="77777777" w:rsidR="008C4BBB" w:rsidRPr="00A50986" w:rsidRDefault="008C4BBB" w:rsidP="00304F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0986">
              <w:rPr>
                <w:sz w:val="20"/>
                <w:szCs w:val="20"/>
              </w:rPr>
              <w:t>Implement a range of strategies to help students make progress</w:t>
            </w:r>
          </w:p>
          <w:p w14:paraId="73565A01" w14:textId="44E657C7" w:rsidR="008C4BBB" w:rsidRDefault="008C4BBB" w:rsidP="003F4BB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A50986">
              <w:rPr>
                <w:sz w:val="20"/>
                <w:szCs w:val="20"/>
              </w:rPr>
              <w:t>Tailor your approach to suit the specific needs of your learners</w:t>
            </w:r>
          </w:p>
        </w:tc>
        <w:tc>
          <w:tcPr>
            <w:tcW w:w="283" w:type="dxa"/>
            <w:vMerge w:val="restart"/>
            <w:tcBorders>
              <w:top w:val="single" w:sz="48" w:space="0" w:color="CF2453" w:themeColor="accent1"/>
            </w:tcBorders>
          </w:tcPr>
          <w:p w14:paraId="2DF72C8C" w14:textId="75BFAA67" w:rsidR="008C4BBB" w:rsidRPr="000C0FC2" w:rsidRDefault="008C4BBB" w:rsidP="000C0F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8" w:space="0" w:color="CF2453" w:themeColor="accent1"/>
            </w:tcBorders>
          </w:tcPr>
          <w:p w14:paraId="52C7CF80" w14:textId="74B9E176" w:rsidR="008C4BBB" w:rsidRPr="00CF442B" w:rsidRDefault="00CF442B" w:rsidP="00F92E93">
            <w:pPr>
              <w:spacing w:after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0B6794" wp14:editId="42915396">
                  <wp:extent cx="2948314" cy="2521527"/>
                  <wp:effectExtent l="0" t="0" r="444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" r="4171" b="2686"/>
                          <a:stretch/>
                        </pic:blipFill>
                        <pic:spPr bwMode="auto">
                          <a:xfrm>
                            <a:off x="0" y="0"/>
                            <a:ext cx="2958292" cy="25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BB" w14:paraId="523A43E3" w14:textId="77777777" w:rsidTr="00A50986">
        <w:trPr>
          <w:trHeight w:val="5755"/>
        </w:trPr>
        <w:tc>
          <w:tcPr>
            <w:tcW w:w="5529" w:type="dxa"/>
            <w:gridSpan w:val="2"/>
            <w:vMerge/>
          </w:tcPr>
          <w:p w14:paraId="368F5AB5" w14:textId="77777777" w:rsidR="008C4BBB" w:rsidRDefault="008C4BBB" w:rsidP="001828EF">
            <w:pPr>
              <w:pStyle w:val="Heading2"/>
              <w:outlineLvl w:val="1"/>
            </w:pPr>
          </w:p>
        </w:tc>
        <w:tc>
          <w:tcPr>
            <w:tcW w:w="283" w:type="dxa"/>
            <w:vMerge/>
          </w:tcPr>
          <w:p w14:paraId="3497A706" w14:textId="77777777" w:rsidR="008C4BBB" w:rsidRPr="000C0FC2" w:rsidRDefault="008C4BBB" w:rsidP="000C0F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tbl>
            <w:tblPr>
              <w:tblStyle w:val="TableGrid"/>
              <w:tblW w:w="46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4" w:type="dxa"/>
                <w:left w:w="284" w:type="dxa"/>
                <w:bottom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649"/>
            </w:tblGrid>
            <w:tr w:rsidR="00694F1B" w14:paraId="737E4190" w14:textId="77777777" w:rsidTr="00A50986">
              <w:trPr>
                <w:trHeight w:val="4918"/>
              </w:trPr>
              <w:tc>
                <w:tcPr>
                  <w:tcW w:w="4649" w:type="dxa"/>
                  <w:tcBorders>
                    <w:bottom w:val="single" w:sz="4" w:space="0" w:color="FFFFFF" w:themeColor="background1"/>
                  </w:tcBorders>
                  <w:shd w:val="clear" w:color="auto" w:fill="CF2453" w:themeFill="accent1"/>
                </w:tcPr>
                <w:p w14:paraId="58BDBF65" w14:textId="77777777" w:rsidR="00807D1A" w:rsidRPr="009E2357" w:rsidRDefault="00807D1A" w:rsidP="00807D1A">
                  <w:pPr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9E235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98% of those asked about the CPD in Science Learning Partnerships said the activity had improved their confidence, </w:t>
                  </w:r>
                  <w:proofErr w:type="gramStart"/>
                  <w:r w:rsidRPr="009E235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knowledge</w:t>
                  </w:r>
                  <w:proofErr w:type="gramEnd"/>
                  <w:r w:rsidRPr="009E235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 and skills</w:t>
                  </w:r>
                </w:p>
                <w:p w14:paraId="29852236" w14:textId="139C141A" w:rsidR="00694F1B" w:rsidRPr="00807D1A" w:rsidRDefault="00807D1A" w:rsidP="00807D1A">
                  <w:pPr>
                    <w:rPr>
                      <w:i/>
                      <w:iCs/>
                    </w:rPr>
                  </w:pPr>
                  <w:r w:rsidRPr="00A50986">
                    <w:rPr>
                      <w:i/>
                      <w:iCs/>
                      <w:color w:val="FFFFFF" w:themeColor="background1"/>
                      <w:sz w:val="24"/>
                      <w:szCs w:val="24"/>
                    </w:rPr>
                    <w:t>National STEM Learning network: regional programme evaluation</w:t>
                  </w:r>
                  <w:r w:rsidR="00A50986">
                    <w:rPr>
                      <w:i/>
                      <w:iCs/>
                      <w:color w:val="FFFFFF" w:themeColor="background1"/>
                      <w:sz w:val="24"/>
                      <w:szCs w:val="24"/>
                    </w:rPr>
                    <w:br/>
                  </w:r>
                  <w:r w:rsidRPr="00A50986">
                    <w:rPr>
                      <w:i/>
                      <w:iCs/>
                      <w:color w:val="FFFFFF" w:themeColor="background1"/>
                      <w:sz w:val="24"/>
                      <w:szCs w:val="24"/>
                    </w:rPr>
                    <w:t>report 2015-16</w:t>
                  </w:r>
                </w:p>
              </w:tc>
            </w:tr>
          </w:tbl>
          <w:p w14:paraId="38EF5FC8" w14:textId="0F250797" w:rsidR="00391077" w:rsidRPr="00391077" w:rsidRDefault="00391077" w:rsidP="00391077"/>
        </w:tc>
      </w:tr>
      <w:tr w:rsidR="009E2357" w:rsidRPr="009E2357" w14:paraId="22FC194A" w14:textId="77777777" w:rsidTr="00C37CFD"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CF2453" w:themeFill="accent1"/>
          </w:tcPr>
          <w:p w14:paraId="2258C4E2" w14:textId="402B0118" w:rsidR="009E2357" w:rsidRPr="00810731" w:rsidRDefault="009E2357" w:rsidP="001A6505">
            <w:pPr>
              <w:rPr>
                <w:b/>
                <w:bCs/>
                <w:color w:val="FFFFFF" w:themeColor="background1"/>
              </w:rPr>
            </w:pPr>
            <w:r w:rsidRPr="00810731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FCEEF2"/>
          </w:tcPr>
          <w:p w14:paraId="4285D2FD" w14:textId="1618F2F6" w:rsidR="009E2357" w:rsidRPr="009E2357" w:rsidRDefault="009E2357" w:rsidP="001A6505">
            <w:pPr>
              <w:rPr>
                <w:sz w:val="20"/>
                <w:szCs w:val="20"/>
              </w:rPr>
            </w:pPr>
            <w:r w:rsidRPr="009E2357">
              <w:rPr>
                <w:sz w:val="20"/>
                <w:szCs w:val="20"/>
              </w:rPr>
              <w:t>For further information please see below</w:t>
            </w:r>
          </w:p>
        </w:tc>
      </w:tr>
      <w:tr w:rsidR="009E2357" w:rsidRPr="009E2357" w14:paraId="40FFBF94" w14:textId="77777777" w:rsidTr="00C37CFD"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7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2453" w:themeFill="accent1"/>
          </w:tcPr>
          <w:p w14:paraId="3C62FC82" w14:textId="77777777" w:rsidR="009E2357" w:rsidRPr="00810731" w:rsidRDefault="009E2357" w:rsidP="001A6505">
            <w:pPr>
              <w:rPr>
                <w:b/>
                <w:bCs/>
                <w:color w:val="FFFFFF" w:themeColor="background1"/>
              </w:rPr>
            </w:pPr>
            <w:r w:rsidRPr="00810731"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CEEF2"/>
          </w:tcPr>
          <w:p w14:paraId="3C7DCBC9" w14:textId="06BE22C6" w:rsidR="009E2357" w:rsidRPr="009E2357" w:rsidRDefault="009E2357" w:rsidP="001A6505">
            <w:pPr>
              <w:rPr>
                <w:sz w:val="20"/>
                <w:szCs w:val="20"/>
              </w:rPr>
            </w:pPr>
            <w:r w:rsidRPr="009E2357">
              <w:rPr>
                <w:sz w:val="20"/>
                <w:szCs w:val="20"/>
              </w:rPr>
              <w:t>Remote Delivered CPD</w:t>
            </w:r>
          </w:p>
        </w:tc>
      </w:tr>
      <w:tr w:rsidR="00FB7905" w:rsidRPr="009E2357" w14:paraId="48499451" w14:textId="77777777" w:rsidTr="00C37CFD"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FFFFFF" w:themeColor="background1"/>
            </w:tcBorders>
            <w:shd w:val="clear" w:color="auto" w:fill="CF2453" w:themeFill="accent1"/>
          </w:tcPr>
          <w:p w14:paraId="2E655746" w14:textId="77777777" w:rsidR="00FB7905" w:rsidRPr="00810731" w:rsidRDefault="00FB7905" w:rsidP="001A6505">
            <w:pPr>
              <w:rPr>
                <w:b/>
                <w:bCs/>
                <w:color w:val="FFFFFF" w:themeColor="background1"/>
              </w:rPr>
            </w:pPr>
            <w:r w:rsidRPr="00810731">
              <w:rPr>
                <w:b/>
                <w:bCs/>
                <w:color w:val="FFFFFF" w:themeColor="background1"/>
              </w:rPr>
              <w:t>Pricing</w:t>
            </w:r>
          </w:p>
        </w:tc>
        <w:tc>
          <w:tcPr>
            <w:tcW w:w="446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CEEF2"/>
          </w:tcPr>
          <w:p w14:paraId="79438208" w14:textId="1D8C0735" w:rsidR="00FB7905" w:rsidRPr="009E2357" w:rsidRDefault="00FB7905" w:rsidP="001A6505">
            <w:pPr>
              <w:rPr>
                <w:sz w:val="20"/>
                <w:szCs w:val="20"/>
              </w:rPr>
            </w:pPr>
            <w:r w:rsidRPr="009E2357">
              <w:rPr>
                <w:b/>
                <w:bCs/>
                <w:sz w:val="20"/>
                <w:szCs w:val="20"/>
              </w:rPr>
              <w:t>State funded school or college:</w:t>
            </w:r>
            <w:r w:rsidRPr="009E2357">
              <w:rPr>
                <w:sz w:val="20"/>
                <w:szCs w:val="20"/>
              </w:rPr>
              <w:br/>
              <w:t>Activity fee: £120 +VAT</w:t>
            </w:r>
          </w:p>
        </w:tc>
        <w:tc>
          <w:tcPr>
            <w:tcW w:w="46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CEEF2"/>
          </w:tcPr>
          <w:p w14:paraId="10D7F7C9" w14:textId="03AF9268" w:rsidR="00FB7905" w:rsidRPr="009E2357" w:rsidRDefault="00FB7905" w:rsidP="001A6505">
            <w:pPr>
              <w:rPr>
                <w:sz w:val="20"/>
                <w:szCs w:val="20"/>
              </w:rPr>
            </w:pPr>
            <w:r w:rsidRPr="009E2357">
              <w:rPr>
                <w:b/>
                <w:bCs/>
                <w:sz w:val="20"/>
                <w:szCs w:val="20"/>
              </w:rPr>
              <w:t>Fee paying school or college</w:t>
            </w:r>
            <w:r w:rsidRPr="009E2357">
              <w:rPr>
                <w:sz w:val="20"/>
                <w:szCs w:val="20"/>
              </w:rPr>
              <w:br/>
              <w:t>Activity fee: £240 +VAT</w:t>
            </w:r>
          </w:p>
        </w:tc>
      </w:tr>
      <w:tr w:rsidR="00FB7905" w:rsidRPr="009E2357" w14:paraId="1C7EFB2A" w14:textId="77777777" w:rsidTr="00A50986"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7"/>
        </w:trPr>
        <w:tc>
          <w:tcPr>
            <w:tcW w:w="1418" w:type="dxa"/>
            <w:vMerge/>
            <w:tcBorders>
              <w:bottom w:val="single" w:sz="4" w:space="0" w:color="FFFFFF" w:themeColor="background1"/>
            </w:tcBorders>
            <w:shd w:val="clear" w:color="auto" w:fill="CF2453" w:themeFill="accent1"/>
          </w:tcPr>
          <w:p w14:paraId="7EEA33B2" w14:textId="77777777" w:rsidR="00FB7905" w:rsidRPr="00810731" w:rsidRDefault="00FB7905" w:rsidP="001A650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CEEF2"/>
          </w:tcPr>
          <w:p w14:paraId="74E551C5" w14:textId="21203E1F" w:rsidR="00FB7905" w:rsidRPr="009E2357" w:rsidRDefault="00FB7905" w:rsidP="001A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Bursaries may be available </w:t>
            </w:r>
            <w:r w:rsidR="00AA78AE">
              <w:rPr>
                <w:b/>
                <w:bCs/>
                <w:sz w:val="20"/>
                <w:szCs w:val="20"/>
              </w:rPr>
              <w:t>for eligible state funded schools</w:t>
            </w:r>
          </w:p>
        </w:tc>
      </w:tr>
    </w:tbl>
    <w:p w14:paraId="66889F6B" w14:textId="4CD5CEE2" w:rsidR="009E2357" w:rsidRDefault="00C37CFD" w:rsidP="00266E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A3BE0" wp14:editId="42186F2B">
                <wp:simplePos x="0" y="0"/>
                <wp:positionH relativeFrom="margin">
                  <wp:posOffset>10886</wp:posOffset>
                </wp:positionH>
                <wp:positionV relativeFrom="page">
                  <wp:posOffset>9405257</wp:posOffset>
                </wp:positionV>
                <wp:extent cx="6627676" cy="425450"/>
                <wp:effectExtent l="0" t="0" r="1905" b="0"/>
                <wp:wrapNone/>
                <wp:docPr id="217" name="Text Box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676" cy="425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31E" w14:textId="77777777" w:rsidR="00FB7905" w:rsidRPr="00CE0E4B" w:rsidRDefault="00FB7905" w:rsidP="00FB790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E4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Book now:</w:t>
                            </w:r>
                            <w:r w:rsidRPr="00CE0E4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0" w:history="1">
                              <w:r w:rsidRPr="00CE0E4B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&gt; Booking Link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A3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stem.org.uk/cpd/513971/teaching-assistants-and-send-settings-maximising-impact-and-progression-learners-science" style="position:absolute;margin-left:.85pt;margin-top:740.55pt;width:521.85pt;height: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" o:button="t" fillcolor="#00afd8 [3208]" stroked="f">
                <v:fill o:detectmouseclick="t"/>
                <v:textbox>
                  <w:txbxContent>
                    <w:p w14:paraId="080C431E" w14:textId="77777777" w:rsidR="00FB7905" w:rsidRPr="00CE0E4B" w:rsidRDefault="00FB7905" w:rsidP="00FB790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E4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Book now:</w:t>
                      </w:r>
                      <w:r w:rsidRPr="00CE0E4B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hyperlink r:id="rId11" w:history="1">
                        <w:r w:rsidRPr="00CE0E4B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&gt; Booking Link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8CEEF5" w14:textId="1499DF4B" w:rsidR="00CE0E4B" w:rsidRDefault="00CE0E4B" w:rsidP="00266E20">
      <w:pPr>
        <w:sectPr w:rsidR="00CE0E4B" w:rsidSect="00CF44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127" w:right="720" w:bottom="720" w:left="720" w:header="454" w:footer="340" w:gutter="0"/>
          <w:cols w:space="708"/>
          <w:docGrid w:linePitch="360"/>
        </w:sectPr>
      </w:pPr>
    </w:p>
    <w:p w14:paraId="12E79C68" w14:textId="784D41AE" w:rsidR="00266E20" w:rsidRDefault="00266E20" w:rsidP="00266E20"/>
    <w:tbl>
      <w:tblPr>
        <w:tblStyle w:val="ListTable3-Accent1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09"/>
        <w:gridCol w:w="2380"/>
        <w:gridCol w:w="1365"/>
        <w:gridCol w:w="2531"/>
      </w:tblGrid>
      <w:tr w:rsidR="00CE0E4B" w14:paraId="2977146E" w14:textId="662F68D2" w:rsidTr="0009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9" w:type="dxa"/>
            <w:tcBorders>
              <w:top w:val="single" w:sz="4" w:space="0" w:color="CF2453" w:themeColor="accent1"/>
              <w:bottom w:val="single" w:sz="4" w:space="0" w:color="CF2453" w:themeColor="accent1"/>
              <w:right w:val="single" w:sz="4" w:space="0" w:color="FFFFFF" w:themeColor="background1"/>
            </w:tcBorders>
          </w:tcPr>
          <w:p w14:paraId="432C2D41" w14:textId="25A77506" w:rsidR="000F0CBE" w:rsidRPr="002A4E9E" w:rsidRDefault="00095C60" w:rsidP="00E470F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SESSION</w:t>
            </w:r>
          </w:p>
        </w:tc>
        <w:tc>
          <w:tcPr>
            <w:tcW w:w="2399" w:type="dxa"/>
            <w:tcBorders>
              <w:top w:val="single" w:sz="4" w:space="0" w:color="CF2453" w:themeColor="accent1"/>
              <w:left w:val="single" w:sz="4" w:space="0" w:color="FFFFFF" w:themeColor="background1"/>
              <w:bottom w:val="single" w:sz="4" w:space="0" w:color="CF2453" w:themeColor="accent1"/>
              <w:right w:val="single" w:sz="4" w:space="0" w:color="FFFFFF" w:themeColor="background1"/>
            </w:tcBorders>
          </w:tcPr>
          <w:p w14:paraId="10D0E3CB" w14:textId="137B9C9C" w:rsidR="000F0CBE" w:rsidRPr="002A4E9E" w:rsidRDefault="00095C60" w:rsidP="00E470F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DATE/TIME</w:t>
            </w:r>
          </w:p>
        </w:tc>
        <w:tc>
          <w:tcPr>
            <w:tcW w:w="1275" w:type="dxa"/>
            <w:tcBorders>
              <w:top w:val="single" w:sz="4" w:space="0" w:color="CF2453" w:themeColor="accent1"/>
              <w:left w:val="single" w:sz="4" w:space="0" w:color="FFFFFF" w:themeColor="background1"/>
              <w:bottom w:val="single" w:sz="4" w:space="0" w:color="CF2453" w:themeColor="accent1"/>
              <w:right w:val="single" w:sz="4" w:space="0" w:color="FFFFFF" w:themeColor="background1"/>
            </w:tcBorders>
          </w:tcPr>
          <w:p w14:paraId="38BF99AB" w14:textId="46398E23" w:rsidR="000F0CBE" w:rsidRPr="002A4E9E" w:rsidRDefault="00095C60" w:rsidP="00E470F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CF2453" w:themeColor="accent1"/>
              <w:left w:val="single" w:sz="4" w:space="0" w:color="FFFFFF" w:themeColor="background1"/>
              <w:bottom w:val="single" w:sz="4" w:space="0" w:color="CF2453" w:themeColor="accent1"/>
            </w:tcBorders>
          </w:tcPr>
          <w:p w14:paraId="43D52657" w14:textId="601DDFBF" w:rsidR="000F0CBE" w:rsidRDefault="00095C60" w:rsidP="00E470F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INDIVIDUAL SESSION </w:t>
            </w:r>
            <w:r>
              <w:rPr>
                <w:color w:val="FFFFFF" w:themeColor="background1"/>
              </w:rPr>
              <w:br/>
              <w:t>BOOKING LINK</w:t>
            </w:r>
          </w:p>
        </w:tc>
      </w:tr>
      <w:tr w:rsidR="00C07289" w14:paraId="2F29E979" w14:textId="548A974B" w:rsidTr="0009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right w:val="single" w:sz="4" w:space="0" w:color="CF2453" w:themeColor="accent1"/>
            </w:tcBorders>
          </w:tcPr>
          <w:p w14:paraId="58579B99" w14:textId="1B151352" w:rsidR="000F0CBE" w:rsidRPr="00095C60" w:rsidRDefault="000F0CBE" w:rsidP="00E470F8">
            <w:pPr>
              <w:spacing w:after="0"/>
            </w:pPr>
            <w:r w:rsidRPr="00095C60">
              <w:rPr>
                <w:color w:val="002A4F" w:themeColor="accent2"/>
              </w:rPr>
              <w:t xml:space="preserve">Workshop 1 – Introduction &amp; </w:t>
            </w:r>
            <w:r w:rsidR="00841CD7">
              <w:rPr>
                <w:color w:val="002A4F" w:themeColor="accent2"/>
              </w:rPr>
              <w:br/>
            </w:r>
            <w:r w:rsidRPr="00095C60">
              <w:rPr>
                <w:color w:val="002A4F" w:themeColor="accent2"/>
              </w:rPr>
              <w:t>Science Curriculum</w:t>
            </w:r>
          </w:p>
        </w:tc>
        <w:tc>
          <w:tcPr>
            <w:tcW w:w="2399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33F91C0B" w14:textId="29784A11" w:rsidR="004C04C8" w:rsidRPr="00095C60" w:rsidRDefault="004C04C8" w:rsidP="004C0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95C60">
              <w:rPr>
                <w:b/>
                <w:bCs/>
              </w:rPr>
              <w:t>28</w:t>
            </w:r>
            <w:r w:rsidRPr="00095C60">
              <w:rPr>
                <w:b/>
                <w:bCs/>
                <w:vertAlign w:val="superscript"/>
              </w:rPr>
              <w:t>th</w:t>
            </w:r>
            <w:r w:rsidRPr="00095C60">
              <w:rPr>
                <w:b/>
                <w:bCs/>
              </w:rPr>
              <w:t xml:space="preserve"> September 2022</w:t>
            </w:r>
            <w:r w:rsidRPr="00095C60">
              <w:br/>
            </w:r>
            <w:r w:rsidRPr="00095C60">
              <w:rPr>
                <w:i/>
                <w:iCs/>
              </w:rPr>
              <w:t>09.30 – 10.30</w:t>
            </w:r>
          </w:p>
        </w:tc>
        <w:tc>
          <w:tcPr>
            <w:tcW w:w="1275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76B59534" w14:textId="15BFE7F3" w:rsidR="000F0CBE" w:rsidRPr="00095C60" w:rsidRDefault="003F5BA1" w:rsidP="00095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C60">
              <w:t>Virtual</w:t>
            </w:r>
          </w:p>
        </w:tc>
        <w:tc>
          <w:tcPr>
            <w:tcW w:w="2552" w:type="dxa"/>
            <w:tcBorders>
              <w:left w:val="single" w:sz="4" w:space="0" w:color="CF2453" w:themeColor="accent1"/>
            </w:tcBorders>
          </w:tcPr>
          <w:p w14:paraId="63DB0BC9" w14:textId="0A17FF88" w:rsidR="000F0CBE" w:rsidRPr="00095C60" w:rsidRDefault="00217FDC" w:rsidP="003F5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FD8" w:themeColor="accent5"/>
              </w:rPr>
            </w:pPr>
            <w:hyperlink r:id="rId18" w:history="1">
              <w:r w:rsidR="003F5BA1" w:rsidRPr="00095C60">
                <w:rPr>
                  <w:rStyle w:val="Hyperlink"/>
                  <w:color w:val="00AFD8" w:themeColor="accent5"/>
                </w:rPr>
                <w:t>&gt; Booking Link</w:t>
              </w:r>
            </w:hyperlink>
          </w:p>
        </w:tc>
      </w:tr>
      <w:tr w:rsidR="00C07289" w14:paraId="6694041E" w14:textId="51F69B94" w:rsidTr="000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top w:val="single" w:sz="4" w:space="0" w:color="CF2453" w:themeColor="accent1"/>
              <w:bottom w:val="single" w:sz="4" w:space="0" w:color="CF2453" w:themeColor="accent1"/>
              <w:right w:val="single" w:sz="4" w:space="0" w:color="CF2453" w:themeColor="accent1"/>
            </w:tcBorders>
          </w:tcPr>
          <w:p w14:paraId="75EE8AEA" w14:textId="12389077" w:rsidR="000F0CBE" w:rsidRPr="00095C60" w:rsidRDefault="000F0CBE" w:rsidP="00E470F8">
            <w:pPr>
              <w:spacing w:after="0"/>
            </w:pPr>
            <w:r w:rsidRPr="00095C60">
              <w:rPr>
                <w:color w:val="002A4F" w:themeColor="accent2"/>
              </w:rPr>
              <w:t xml:space="preserve">Workshop 2 – </w:t>
            </w:r>
            <w:r w:rsidR="000803EA" w:rsidRPr="00095C60">
              <w:rPr>
                <w:color w:val="002A4F" w:themeColor="accent2"/>
              </w:rPr>
              <w:t>Vocabulary</w:t>
            </w:r>
          </w:p>
        </w:tc>
        <w:tc>
          <w:tcPr>
            <w:tcW w:w="2399" w:type="dxa"/>
            <w:tcBorders>
              <w:top w:val="single" w:sz="4" w:space="0" w:color="CF2453" w:themeColor="accent1"/>
              <w:left w:val="single" w:sz="4" w:space="0" w:color="CF2453" w:themeColor="accent1"/>
              <w:bottom w:val="single" w:sz="4" w:space="0" w:color="CF2453" w:themeColor="accent1"/>
              <w:right w:val="single" w:sz="4" w:space="0" w:color="CF2453" w:themeColor="accent1"/>
            </w:tcBorders>
          </w:tcPr>
          <w:p w14:paraId="5B54298B" w14:textId="35472047" w:rsidR="000F0CBE" w:rsidRPr="00095C60" w:rsidRDefault="004C54D7" w:rsidP="00E4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</w:rPr>
              <w:t>6</w:t>
            </w:r>
            <w:r w:rsidRPr="004C54D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</w:t>
            </w:r>
            <w:r w:rsidR="004C04C8" w:rsidRPr="00095C60">
              <w:rPr>
                <w:b/>
                <w:bCs/>
              </w:rPr>
              <w:t>2022</w:t>
            </w:r>
            <w:r w:rsidR="004C04C8" w:rsidRPr="00095C60">
              <w:br/>
            </w:r>
            <w:r w:rsidR="004C04C8" w:rsidRPr="00095C60">
              <w:rPr>
                <w:i/>
                <w:iCs/>
              </w:rPr>
              <w:t>09.30 – 10.30</w:t>
            </w:r>
          </w:p>
        </w:tc>
        <w:tc>
          <w:tcPr>
            <w:tcW w:w="1275" w:type="dxa"/>
            <w:tcBorders>
              <w:top w:val="single" w:sz="4" w:space="0" w:color="CF2453" w:themeColor="accent1"/>
              <w:left w:val="single" w:sz="4" w:space="0" w:color="CF2453" w:themeColor="accent1"/>
              <w:bottom w:val="single" w:sz="4" w:space="0" w:color="CF2453" w:themeColor="accent1"/>
              <w:right w:val="single" w:sz="4" w:space="0" w:color="CF2453" w:themeColor="accent1"/>
            </w:tcBorders>
          </w:tcPr>
          <w:p w14:paraId="46CAA11F" w14:textId="7EBAA66F" w:rsidR="000F0CBE" w:rsidRPr="00095C60" w:rsidRDefault="003F5BA1" w:rsidP="000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C60">
              <w:t>Virtual</w:t>
            </w:r>
          </w:p>
        </w:tc>
        <w:tc>
          <w:tcPr>
            <w:tcW w:w="2552" w:type="dxa"/>
            <w:tcBorders>
              <w:top w:val="single" w:sz="4" w:space="0" w:color="CF2453" w:themeColor="accent1"/>
              <w:left w:val="single" w:sz="4" w:space="0" w:color="CF2453" w:themeColor="accent1"/>
              <w:bottom w:val="single" w:sz="4" w:space="0" w:color="CF2453" w:themeColor="accent1"/>
            </w:tcBorders>
          </w:tcPr>
          <w:p w14:paraId="7CBB5C39" w14:textId="031D865F" w:rsidR="000F0CBE" w:rsidRPr="00095C60" w:rsidRDefault="00217FDC" w:rsidP="00E4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FD8" w:themeColor="accent5"/>
              </w:rPr>
            </w:pPr>
            <w:hyperlink r:id="rId19" w:history="1">
              <w:r w:rsidR="009A32CE" w:rsidRPr="00095C60">
                <w:rPr>
                  <w:rStyle w:val="Hyperlink"/>
                  <w:color w:val="00AFD8" w:themeColor="accent5"/>
                </w:rPr>
                <w:t>&gt; Booking Link</w:t>
              </w:r>
            </w:hyperlink>
          </w:p>
        </w:tc>
      </w:tr>
      <w:tr w:rsidR="00C07289" w14:paraId="2F0D9A69" w14:textId="3E9E63B5" w:rsidTr="0009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right w:val="single" w:sz="4" w:space="0" w:color="CF2453" w:themeColor="accent1"/>
            </w:tcBorders>
          </w:tcPr>
          <w:p w14:paraId="576ED547" w14:textId="2E4ACA0A" w:rsidR="000F0CBE" w:rsidRPr="00095C60" w:rsidRDefault="000F0CBE" w:rsidP="00E470F8">
            <w:pPr>
              <w:spacing w:after="0"/>
            </w:pPr>
            <w:r w:rsidRPr="00095C60">
              <w:rPr>
                <w:color w:val="002A4F" w:themeColor="accent2"/>
              </w:rPr>
              <w:t xml:space="preserve">Workshop 3 – </w:t>
            </w:r>
            <w:r w:rsidR="000803EA" w:rsidRPr="00095C60">
              <w:rPr>
                <w:color w:val="002A4F" w:themeColor="accent2"/>
              </w:rPr>
              <w:t>Differentiation and Scaffolding</w:t>
            </w:r>
          </w:p>
        </w:tc>
        <w:tc>
          <w:tcPr>
            <w:tcW w:w="2399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51F8F197" w14:textId="0DD7899D" w:rsidR="000F0CBE" w:rsidRPr="00095C60" w:rsidRDefault="004C54D7" w:rsidP="00E470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</w:rPr>
              <w:t>11</w:t>
            </w:r>
            <w:r w:rsidRPr="004C54D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</w:t>
            </w:r>
            <w:r w:rsidR="004C04C8" w:rsidRPr="00095C60">
              <w:rPr>
                <w:b/>
                <w:bCs/>
              </w:rPr>
              <w:t xml:space="preserve"> 2022</w:t>
            </w:r>
            <w:r w:rsidR="004C04C8" w:rsidRPr="00095C60">
              <w:br/>
            </w:r>
            <w:r w:rsidR="004C04C8" w:rsidRPr="00095C60">
              <w:rPr>
                <w:i/>
                <w:iCs/>
              </w:rPr>
              <w:t>09.30 – 10.30</w:t>
            </w:r>
          </w:p>
        </w:tc>
        <w:tc>
          <w:tcPr>
            <w:tcW w:w="1275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5658FDCE" w14:textId="598FEAFB" w:rsidR="000F0CBE" w:rsidRPr="00095C60" w:rsidRDefault="003F5BA1" w:rsidP="00095C6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C60">
              <w:t>Virtual</w:t>
            </w:r>
          </w:p>
        </w:tc>
        <w:tc>
          <w:tcPr>
            <w:tcW w:w="2552" w:type="dxa"/>
            <w:tcBorders>
              <w:left w:val="single" w:sz="4" w:space="0" w:color="CF2453" w:themeColor="accent1"/>
            </w:tcBorders>
          </w:tcPr>
          <w:p w14:paraId="5D63E2CE" w14:textId="4A26C099" w:rsidR="000F0CBE" w:rsidRPr="00095C60" w:rsidRDefault="00217FDC" w:rsidP="00E470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FD8" w:themeColor="accent5"/>
              </w:rPr>
            </w:pPr>
            <w:hyperlink r:id="rId20" w:history="1">
              <w:r w:rsidR="00F071DA" w:rsidRPr="00095C60">
                <w:rPr>
                  <w:rStyle w:val="Hyperlink"/>
                  <w:color w:val="00AFD8" w:themeColor="accent5"/>
                </w:rPr>
                <w:t>&gt; Booking Link</w:t>
              </w:r>
            </w:hyperlink>
          </w:p>
        </w:tc>
      </w:tr>
      <w:tr w:rsidR="00C07289" w14:paraId="0294ED3D" w14:textId="77777777" w:rsidTr="000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right w:val="single" w:sz="4" w:space="0" w:color="CF2453" w:themeColor="accent1"/>
            </w:tcBorders>
          </w:tcPr>
          <w:p w14:paraId="3A7396FA" w14:textId="086532A9" w:rsidR="000F0CBE" w:rsidRPr="00095C60" w:rsidRDefault="000F0CBE" w:rsidP="00E470F8">
            <w:pPr>
              <w:spacing w:after="0"/>
              <w:rPr>
                <w:color w:val="002A4F" w:themeColor="accent2"/>
              </w:rPr>
            </w:pPr>
            <w:r w:rsidRPr="00095C60">
              <w:rPr>
                <w:color w:val="002A4F" w:themeColor="accent2"/>
              </w:rPr>
              <w:t xml:space="preserve">Workshop 4 – </w:t>
            </w:r>
            <w:r w:rsidR="000803EA" w:rsidRPr="00095C60">
              <w:rPr>
                <w:color w:val="002A4F" w:themeColor="accent2"/>
              </w:rPr>
              <w:t>Teaching Resources</w:t>
            </w:r>
          </w:p>
        </w:tc>
        <w:tc>
          <w:tcPr>
            <w:tcW w:w="2399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7F73B721" w14:textId="74F0F118" w:rsidR="000F0CBE" w:rsidRPr="00095C60" w:rsidRDefault="004C04C8" w:rsidP="00E470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95C60">
              <w:rPr>
                <w:b/>
                <w:bCs/>
              </w:rPr>
              <w:t xml:space="preserve"> </w:t>
            </w:r>
            <w:r w:rsidR="0029618E">
              <w:rPr>
                <w:b/>
                <w:bCs/>
              </w:rPr>
              <w:t>2</w:t>
            </w:r>
            <w:r w:rsidR="0029618E" w:rsidRPr="0029618E">
              <w:rPr>
                <w:b/>
                <w:bCs/>
                <w:vertAlign w:val="superscript"/>
              </w:rPr>
              <w:t>nd</w:t>
            </w:r>
            <w:r w:rsidR="0029618E">
              <w:rPr>
                <w:b/>
                <w:bCs/>
              </w:rPr>
              <w:t xml:space="preserve"> November </w:t>
            </w:r>
            <w:r w:rsidR="006658C1">
              <w:rPr>
                <w:b/>
                <w:bCs/>
              </w:rPr>
              <w:t>20</w:t>
            </w:r>
            <w:r w:rsidRPr="00095C60">
              <w:rPr>
                <w:b/>
                <w:bCs/>
              </w:rPr>
              <w:t>22</w:t>
            </w:r>
            <w:r w:rsidRPr="00095C60">
              <w:br/>
            </w:r>
            <w:r w:rsidRPr="00095C60">
              <w:rPr>
                <w:i/>
                <w:iCs/>
              </w:rPr>
              <w:t>09.30 – 10.30</w:t>
            </w:r>
          </w:p>
        </w:tc>
        <w:tc>
          <w:tcPr>
            <w:tcW w:w="1275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154563AD" w14:textId="0136865D" w:rsidR="000F0CBE" w:rsidRPr="00095C60" w:rsidRDefault="003F5BA1" w:rsidP="00095C6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C60">
              <w:t>Virtual</w:t>
            </w:r>
          </w:p>
        </w:tc>
        <w:tc>
          <w:tcPr>
            <w:tcW w:w="2552" w:type="dxa"/>
            <w:tcBorders>
              <w:left w:val="single" w:sz="4" w:space="0" w:color="CF2453" w:themeColor="accent1"/>
            </w:tcBorders>
          </w:tcPr>
          <w:p w14:paraId="220DB2E6" w14:textId="7D22702F" w:rsidR="000F0CBE" w:rsidRPr="00095C60" w:rsidRDefault="00217FDC" w:rsidP="00E470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FD8" w:themeColor="accent5"/>
              </w:rPr>
            </w:pPr>
            <w:hyperlink r:id="rId21" w:history="1">
              <w:r w:rsidR="00F071DA" w:rsidRPr="00095C60">
                <w:rPr>
                  <w:rStyle w:val="Hyperlink"/>
                  <w:color w:val="00AFD8" w:themeColor="accent5"/>
                </w:rPr>
                <w:t>&gt; Booking Link</w:t>
              </w:r>
            </w:hyperlink>
          </w:p>
        </w:tc>
      </w:tr>
      <w:tr w:rsidR="00C07289" w14:paraId="197A3A76" w14:textId="77777777" w:rsidTr="0009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right w:val="single" w:sz="4" w:space="0" w:color="CF2453" w:themeColor="accent1"/>
            </w:tcBorders>
          </w:tcPr>
          <w:p w14:paraId="782533FC" w14:textId="09158269" w:rsidR="000F0CBE" w:rsidRPr="00095C60" w:rsidRDefault="000F0CBE" w:rsidP="00E470F8">
            <w:pPr>
              <w:spacing w:after="0"/>
              <w:rPr>
                <w:color w:val="002A4F" w:themeColor="accent2"/>
              </w:rPr>
            </w:pPr>
            <w:r w:rsidRPr="00095C60">
              <w:rPr>
                <w:color w:val="002A4F" w:themeColor="accent2"/>
              </w:rPr>
              <w:t xml:space="preserve">Workshop 5 – </w:t>
            </w:r>
            <w:r w:rsidR="004C04C8" w:rsidRPr="00095C60">
              <w:rPr>
                <w:color w:val="002A4F" w:themeColor="accent2"/>
              </w:rPr>
              <w:t>Pract</w:t>
            </w:r>
            <w:r w:rsidR="00FC3A14">
              <w:rPr>
                <w:color w:val="002A4F" w:themeColor="accent2"/>
              </w:rPr>
              <w:t>i</w:t>
            </w:r>
            <w:r w:rsidR="004C04C8" w:rsidRPr="00095C60">
              <w:rPr>
                <w:color w:val="002A4F" w:themeColor="accent2"/>
              </w:rPr>
              <w:t>cal Work</w:t>
            </w:r>
          </w:p>
        </w:tc>
        <w:tc>
          <w:tcPr>
            <w:tcW w:w="2399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46483A0B" w14:textId="76FE58E9" w:rsidR="000F0CBE" w:rsidRPr="00095C60" w:rsidRDefault="006658C1" w:rsidP="00E470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</w:rPr>
              <w:t>17</w:t>
            </w:r>
            <w:r w:rsidRPr="006658C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 2</w:t>
            </w:r>
            <w:r w:rsidR="004C04C8" w:rsidRPr="00095C60">
              <w:rPr>
                <w:b/>
                <w:bCs/>
              </w:rPr>
              <w:t>022</w:t>
            </w:r>
            <w:r w:rsidR="004C04C8" w:rsidRPr="00095C60">
              <w:br/>
            </w:r>
            <w:r w:rsidR="004C04C8" w:rsidRPr="00095C60">
              <w:rPr>
                <w:i/>
                <w:iCs/>
              </w:rPr>
              <w:t>09.30 – 10.30</w:t>
            </w:r>
          </w:p>
        </w:tc>
        <w:tc>
          <w:tcPr>
            <w:tcW w:w="1275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5BE78D57" w14:textId="23CD55D5" w:rsidR="000F0CBE" w:rsidRPr="00095C60" w:rsidRDefault="003F5BA1" w:rsidP="00095C6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C60">
              <w:t>Virtual</w:t>
            </w:r>
          </w:p>
        </w:tc>
        <w:tc>
          <w:tcPr>
            <w:tcW w:w="2552" w:type="dxa"/>
            <w:tcBorders>
              <w:left w:val="single" w:sz="4" w:space="0" w:color="CF2453" w:themeColor="accent1"/>
            </w:tcBorders>
          </w:tcPr>
          <w:p w14:paraId="5D26182C" w14:textId="124BB00C" w:rsidR="000F0CBE" w:rsidRPr="00095C60" w:rsidRDefault="00217FDC" w:rsidP="00E470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FD8" w:themeColor="accent5"/>
              </w:rPr>
            </w:pPr>
            <w:hyperlink r:id="rId22" w:history="1">
              <w:r w:rsidR="00F071DA" w:rsidRPr="00095C60">
                <w:rPr>
                  <w:rStyle w:val="Hyperlink"/>
                  <w:color w:val="00AFD8" w:themeColor="accent5"/>
                </w:rPr>
                <w:t>&gt; Booking Link</w:t>
              </w:r>
            </w:hyperlink>
          </w:p>
        </w:tc>
      </w:tr>
      <w:tr w:rsidR="00C07289" w14:paraId="7B3ED154" w14:textId="77777777" w:rsidTr="000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right w:val="single" w:sz="4" w:space="0" w:color="CF2453" w:themeColor="accent1"/>
            </w:tcBorders>
          </w:tcPr>
          <w:p w14:paraId="5A2456E9" w14:textId="72EAA2AB" w:rsidR="000F0CBE" w:rsidRPr="00095C60" w:rsidRDefault="000F0CBE" w:rsidP="00E470F8">
            <w:pPr>
              <w:spacing w:after="0"/>
              <w:rPr>
                <w:color w:val="002A4F" w:themeColor="accent2"/>
              </w:rPr>
            </w:pPr>
            <w:r w:rsidRPr="00095C60">
              <w:rPr>
                <w:color w:val="002A4F" w:themeColor="accent2"/>
              </w:rPr>
              <w:t xml:space="preserve">Workshop 6 – </w:t>
            </w:r>
            <w:r w:rsidR="004C04C8" w:rsidRPr="00095C60">
              <w:rPr>
                <w:color w:val="002A4F" w:themeColor="accent2"/>
              </w:rPr>
              <w:t>Specific SEND Needs</w:t>
            </w:r>
          </w:p>
        </w:tc>
        <w:tc>
          <w:tcPr>
            <w:tcW w:w="2399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3F270003" w14:textId="2B433CFE" w:rsidR="000F0CBE" w:rsidRPr="00095C60" w:rsidRDefault="006658C1" w:rsidP="00E470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</w:rPr>
              <w:t>22</w:t>
            </w:r>
            <w:r w:rsidRPr="006658C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Novembe</w:t>
            </w:r>
            <w:r w:rsidR="004C04C8" w:rsidRPr="00095C60">
              <w:rPr>
                <w:b/>
                <w:bCs/>
              </w:rPr>
              <w:t>r 2022</w:t>
            </w:r>
            <w:r w:rsidR="004C04C8" w:rsidRPr="00095C60">
              <w:br/>
            </w:r>
            <w:r w:rsidR="004C04C8" w:rsidRPr="00095C60">
              <w:rPr>
                <w:i/>
                <w:iCs/>
              </w:rPr>
              <w:t>09.30 – 10.30</w:t>
            </w:r>
          </w:p>
        </w:tc>
        <w:tc>
          <w:tcPr>
            <w:tcW w:w="1275" w:type="dxa"/>
            <w:tcBorders>
              <w:left w:val="single" w:sz="4" w:space="0" w:color="CF2453" w:themeColor="accent1"/>
              <w:right w:val="single" w:sz="4" w:space="0" w:color="CF2453" w:themeColor="accent1"/>
            </w:tcBorders>
          </w:tcPr>
          <w:p w14:paraId="563844FC" w14:textId="1762A120" w:rsidR="000F0CBE" w:rsidRPr="00095C60" w:rsidRDefault="003F5BA1" w:rsidP="00095C6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C60">
              <w:t>Virtual</w:t>
            </w:r>
          </w:p>
        </w:tc>
        <w:tc>
          <w:tcPr>
            <w:tcW w:w="2552" w:type="dxa"/>
            <w:tcBorders>
              <w:left w:val="single" w:sz="4" w:space="0" w:color="CF2453" w:themeColor="accent1"/>
            </w:tcBorders>
          </w:tcPr>
          <w:p w14:paraId="47BB65D7" w14:textId="2B25A649" w:rsidR="000F0CBE" w:rsidRPr="00095C60" w:rsidRDefault="00217FDC" w:rsidP="00E470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FD8" w:themeColor="accent5"/>
              </w:rPr>
            </w:pPr>
            <w:hyperlink r:id="rId23" w:history="1">
              <w:r w:rsidR="00F071DA" w:rsidRPr="00095C60">
                <w:rPr>
                  <w:rStyle w:val="Hyperlink"/>
                  <w:color w:val="00AFD8" w:themeColor="accent5"/>
                </w:rPr>
                <w:t>&gt; Booking Link</w:t>
              </w:r>
            </w:hyperlink>
          </w:p>
        </w:tc>
      </w:tr>
    </w:tbl>
    <w:p w14:paraId="38EB91B6" w14:textId="412A90D3" w:rsidR="008A3F8A" w:rsidRDefault="008A3F8A" w:rsidP="007F1086"/>
    <w:p w14:paraId="1902CA24" w14:textId="1B11989A" w:rsidR="00FB7905" w:rsidRPr="00FB7905" w:rsidRDefault="00FB7905" w:rsidP="00FB7905"/>
    <w:p w14:paraId="0D181767" w14:textId="70467A85" w:rsidR="00FB7905" w:rsidRPr="00FB7905" w:rsidRDefault="00FB7905" w:rsidP="00FB7905"/>
    <w:p w14:paraId="5AD731AE" w14:textId="4D87A7E0" w:rsidR="00FB7905" w:rsidRPr="00FB7905" w:rsidRDefault="006658C1" w:rsidP="006658C1">
      <w:pPr>
        <w:tabs>
          <w:tab w:val="left" w:pos="6285"/>
        </w:tabs>
      </w:pPr>
      <w:r>
        <w:tab/>
      </w:r>
    </w:p>
    <w:p w14:paraId="05405FD3" w14:textId="11A8C7F2" w:rsidR="00FB7905" w:rsidRPr="00FB7905" w:rsidRDefault="00FB7905" w:rsidP="00FB7905"/>
    <w:p w14:paraId="130B3B6D" w14:textId="30F37407" w:rsidR="00FB7905" w:rsidRDefault="00FB7905" w:rsidP="00FB7905"/>
    <w:p w14:paraId="06B70990" w14:textId="06BFD2F2" w:rsidR="00FB7905" w:rsidRPr="00FB7905" w:rsidRDefault="00FB7905" w:rsidP="00FB7905">
      <w:pPr>
        <w:tabs>
          <w:tab w:val="left" w:pos="4520"/>
        </w:tabs>
      </w:pPr>
      <w:r>
        <w:tab/>
      </w:r>
    </w:p>
    <w:sectPr w:rsidR="00FB7905" w:rsidRPr="00FB7905" w:rsidSect="00266E20">
      <w:pgSz w:w="11906" w:h="16838"/>
      <w:pgMar w:top="1843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52A4" w14:textId="77777777" w:rsidR="00997DDC" w:rsidRDefault="00997DDC" w:rsidP="006C7DC4">
      <w:pPr>
        <w:spacing w:after="0" w:line="240" w:lineRule="auto"/>
      </w:pPr>
      <w:r>
        <w:separator/>
      </w:r>
    </w:p>
  </w:endnote>
  <w:endnote w:type="continuationSeparator" w:id="0">
    <w:p w14:paraId="5EB316B9" w14:textId="77777777" w:rsidR="00997DDC" w:rsidRDefault="00997DDC" w:rsidP="006C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28B" w14:textId="77777777" w:rsidR="00A65F33" w:rsidRDefault="00A65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ACA" w14:textId="76852D5E" w:rsidR="006C7DC4" w:rsidRPr="00AA7FDE" w:rsidRDefault="00AA7FDE" w:rsidP="0047237E">
    <w:pPr>
      <w:pStyle w:val="Footer"/>
      <w:spacing w:before="240"/>
      <w:jc w:val="cent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9B6254" wp14:editId="59F617C4">
              <wp:simplePos x="0" y="0"/>
              <wp:positionH relativeFrom="page">
                <wp:posOffset>0</wp:posOffset>
              </wp:positionH>
              <wp:positionV relativeFrom="page">
                <wp:posOffset>9991090</wp:posOffset>
              </wp:positionV>
              <wp:extent cx="7578000" cy="702000"/>
              <wp:effectExtent l="0" t="0" r="4445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00" cy="702000"/>
                      </a:xfrm>
                      <a:prstGeom prst="rect">
                        <a:avLst/>
                      </a:prstGeom>
                      <a:solidFill>
                        <a:srgbClr val="4140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90DB4" id="Rectangle 1" o:spid="_x0000_s1026" style="position:absolute;margin-left:0;margin-top:786.7pt;width:596.7pt;height:5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" fillcolor="#414042" stroked="f" strokeweight="1pt">
              <w10:wrap anchorx="page" anchory="page"/>
            </v:rect>
          </w:pict>
        </mc:Fallback>
      </mc:AlternateContent>
    </w:r>
    <w:r w:rsidR="006C7DC4" w:rsidRPr="00AA7FDE">
      <w:rPr>
        <w:color w:val="FFFFFF" w:themeColor="background1"/>
      </w:rPr>
      <w:t xml:space="preserve">For further information on this or other courses please </w:t>
    </w:r>
    <w:r w:rsidR="00AA78AE">
      <w:rPr>
        <w:color w:val="FFFFFF" w:themeColor="background1"/>
      </w:rPr>
      <w:t xml:space="preserve">see </w:t>
    </w:r>
  </w:p>
  <w:p w14:paraId="7A6D9127" w14:textId="77777777" w:rsidR="00DA31E2" w:rsidRDefault="00AA78AE" w:rsidP="00AA78AE">
    <w:pPr>
      <w:pStyle w:val="Footer"/>
      <w:rPr>
        <w:b/>
        <w:bCs/>
        <w:color w:val="FFFFFF" w:themeColor="background1"/>
        <w:u w:val="single" w:color="CF2453" w:themeColor="accent1"/>
      </w:rPr>
    </w:pPr>
    <w:r>
      <w:rPr>
        <w:b/>
        <w:bCs/>
        <w:color w:val="FFFFFF" w:themeColor="background1"/>
        <w:u w:val="single" w:color="CF2453" w:themeColor="accent1"/>
      </w:rPr>
      <w:tab/>
    </w:r>
    <w:hyperlink r:id="rId1" w:history="1">
      <w:r w:rsidR="00A65F33" w:rsidRPr="00ED0E03">
        <w:rPr>
          <w:rStyle w:val="Hyperlink"/>
          <w:b/>
          <w:bCs/>
        </w:rPr>
        <w:t>Slp.admin@hertsandessex.herts.sch.uk</w:t>
      </w:r>
    </w:hyperlink>
    <w:r w:rsidR="00A65F33">
      <w:rPr>
        <w:b/>
        <w:bCs/>
        <w:color w:val="FFFFFF" w:themeColor="background1"/>
        <w:u w:val="single" w:color="CF2453" w:themeColor="accent1"/>
      </w:rPr>
      <w:t xml:space="preserve"> @SLPHertsEssex </w:t>
    </w:r>
  </w:p>
  <w:p w14:paraId="0A8A2860" w14:textId="5264A728" w:rsidR="006C7DC4" w:rsidRPr="00AA7FDE" w:rsidRDefault="00DA31E2" w:rsidP="00DA31E2">
    <w:pPr>
      <w:pStyle w:val="Footer"/>
      <w:jc w:val="center"/>
      <w:rPr>
        <w:color w:val="FFFFFF" w:themeColor="background1"/>
        <w:u w:val="single" w:color="CF2453" w:themeColor="accent1"/>
      </w:rPr>
    </w:pPr>
    <w:hyperlink r:id="rId2" w:history="1">
      <w:r>
        <w:rPr>
          <w:rStyle w:val="Hyperlink"/>
        </w:rPr>
        <w:t>Herts and Essex Science Learning Partnership (hertsandessexsciencehub.co.uk)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4904" w14:textId="77777777" w:rsidR="00A65F33" w:rsidRDefault="00A65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710B" w14:textId="77777777" w:rsidR="00997DDC" w:rsidRDefault="00997DDC" w:rsidP="006C7DC4">
      <w:pPr>
        <w:spacing w:after="0" w:line="240" w:lineRule="auto"/>
      </w:pPr>
      <w:r>
        <w:separator/>
      </w:r>
    </w:p>
  </w:footnote>
  <w:footnote w:type="continuationSeparator" w:id="0">
    <w:p w14:paraId="2D7F4F74" w14:textId="77777777" w:rsidR="00997DDC" w:rsidRDefault="00997DDC" w:rsidP="006C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3B81" w14:textId="77777777" w:rsidR="00A65F33" w:rsidRDefault="00A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08D0" w14:textId="60A68645" w:rsidR="00A65F33" w:rsidRDefault="00A65F33">
    <w:pPr>
      <w:pStyle w:val="Header"/>
    </w:pPr>
    <w:r>
      <w:rPr>
        <w:noProof/>
      </w:rPr>
      <w:drawing>
        <wp:inline distT="0" distB="0" distL="0" distR="0" wp14:anchorId="0E2A5EF5" wp14:editId="3DF20DBB">
          <wp:extent cx="2198185" cy="8064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911" cy="84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CBC82" w14:textId="49FFD58B" w:rsidR="00190665" w:rsidRDefault="00190665" w:rsidP="00190665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D97B" w14:textId="77777777" w:rsidR="00A65F33" w:rsidRDefault="00A65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98D"/>
    <w:multiLevelType w:val="hybridMultilevel"/>
    <w:tmpl w:val="D714C516"/>
    <w:lvl w:ilvl="0" w:tplc="0F2683E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6FBA"/>
    <w:multiLevelType w:val="hybridMultilevel"/>
    <w:tmpl w:val="4C027AFC"/>
    <w:lvl w:ilvl="0" w:tplc="75E6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4DA6"/>
    <w:multiLevelType w:val="hybridMultilevel"/>
    <w:tmpl w:val="2A4E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485D"/>
    <w:multiLevelType w:val="hybridMultilevel"/>
    <w:tmpl w:val="3CDE6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5C7"/>
    <w:multiLevelType w:val="hybridMultilevel"/>
    <w:tmpl w:val="AC527AA4"/>
    <w:lvl w:ilvl="0" w:tplc="75E67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F2453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45A94"/>
    <w:multiLevelType w:val="hybridMultilevel"/>
    <w:tmpl w:val="95183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F2453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819040">
    <w:abstractNumId w:val="3"/>
  </w:num>
  <w:num w:numId="2" w16cid:durableId="1566448154">
    <w:abstractNumId w:val="2"/>
  </w:num>
  <w:num w:numId="3" w16cid:durableId="958754644">
    <w:abstractNumId w:val="5"/>
  </w:num>
  <w:num w:numId="4" w16cid:durableId="59327180">
    <w:abstractNumId w:val="4"/>
  </w:num>
  <w:num w:numId="5" w16cid:durableId="231426270">
    <w:abstractNumId w:val="1"/>
  </w:num>
  <w:num w:numId="6" w16cid:durableId="107874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5D"/>
    <w:rsid w:val="00012CD6"/>
    <w:rsid w:val="000144B8"/>
    <w:rsid w:val="000208E9"/>
    <w:rsid w:val="0002675D"/>
    <w:rsid w:val="0003349B"/>
    <w:rsid w:val="00040414"/>
    <w:rsid w:val="000435D1"/>
    <w:rsid w:val="00074638"/>
    <w:rsid w:val="00076215"/>
    <w:rsid w:val="000803EA"/>
    <w:rsid w:val="00092F12"/>
    <w:rsid w:val="00093F23"/>
    <w:rsid w:val="00095C60"/>
    <w:rsid w:val="000B4221"/>
    <w:rsid w:val="000C0FC2"/>
    <w:rsid w:val="000E5726"/>
    <w:rsid w:val="000F0CBE"/>
    <w:rsid w:val="00100B42"/>
    <w:rsid w:val="00146BCA"/>
    <w:rsid w:val="00164112"/>
    <w:rsid w:val="00181C2B"/>
    <w:rsid w:val="001828EF"/>
    <w:rsid w:val="00190665"/>
    <w:rsid w:val="00196E93"/>
    <w:rsid w:val="001A42C8"/>
    <w:rsid w:val="001C1B28"/>
    <w:rsid w:val="0020121A"/>
    <w:rsid w:val="00217FDC"/>
    <w:rsid w:val="00226465"/>
    <w:rsid w:val="00246FBE"/>
    <w:rsid w:val="0025597E"/>
    <w:rsid w:val="00260318"/>
    <w:rsid w:val="00264E62"/>
    <w:rsid w:val="002661B7"/>
    <w:rsid w:val="002663F9"/>
    <w:rsid w:val="00266E20"/>
    <w:rsid w:val="00292F6D"/>
    <w:rsid w:val="0029618E"/>
    <w:rsid w:val="00296FD6"/>
    <w:rsid w:val="002A4E9E"/>
    <w:rsid w:val="002D125D"/>
    <w:rsid w:val="002E2102"/>
    <w:rsid w:val="00300774"/>
    <w:rsid w:val="00304F70"/>
    <w:rsid w:val="00365337"/>
    <w:rsid w:val="00366628"/>
    <w:rsid w:val="003722E6"/>
    <w:rsid w:val="00375B8D"/>
    <w:rsid w:val="0038530C"/>
    <w:rsid w:val="00391077"/>
    <w:rsid w:val="003A55C7"/>
    <w:rsid w:val="003C142F"/>
    <w:rsid w:val="003C394A"/>
    <w:rsid w:val="003C61DF"/>
    <w:rsid w:val="003E6380"/>
    <w:rsid w:val="003F4BB2"/>
    <w:rsid w:val="003F5BA1"/>
    <w:rsid w:val="004164D6"/>
    <w:rsid w:val="00421973"/>
    <w:rsid w:val="00426F10"/>
    <w:rsid w:val="004333E0"/>
    <w:rsid w:val="004521E6"/>
    <w:rsid w:val="00467EF5"/>
    <w:rsid w:val="0047237E"/>
    <w:rsid w:val="0047662D"/>
    <w:rsid w:val="004808EE"/>
    <w:rsid w:val="004A010E"/>
    <w:rsid w:val="004B111E"/>
    <w:rsid w:val="004B1594"/>
    <w:rsid w:val="004B2797"/>
    <w:rsid w:val="004B5406"/>
    <w:rsid w:val="004C04C8"/>
    <w:rsid w:val="004C54D7"/>
    <w:rsid w:val="004D1289"/>
    <w:rsid w:val="004E5DEE"/>
    <w:rsid w:val="0050468E"/>
    <w:rsid w:val="00517D03"/>
    <w:rsid w:val="00542E10"/>
    <w:rsid w:val="00550468"/>
    <w:rsid w:val="00571902"/>
    <w:rsid w:val="00584320"/>
    <w:rsid w:val="005C7BD9"/>
    <w:rsid w:val="005E6723"/>
    <w:rsid w:val="005F18C8"/>
    <w:rsid w:val="00603966"/>
    <w:rsid w:val="0064576A"/>
    <w:rsid w:val="006658C1"/>
    <w:rsid w:val="0067559C"/>
    <w:rsid w:val="0069371C"/>
    <w:rsid w:val="00694F1B"/>
    <w:rsid w:val="006B5BBE"/>
    <w:rsid w:val="006C4FD1"/>
    <w:rsid w:val="006C7DC4"/>
    <w:rsid w:val="006E4D69"/>
    <w:rsid w:val="00702261"/>
    <w:rsid w:val="00703200"/>
    <w:rsid w:val="00711374"/>
    <w:rsid w:val="0076736B"/>
    <w:rsid w:val="007922A4"/>
    <w:rsid w:val="00793F84"/>
    <w:rsid w:val="007A7AD6"/>
    <w:rsid w:val="007B175A"/>
    <w:rsid w:val="007C6D7C"/>
    <w:rsid w:val="007D6FE9"/>
    <w:rsid w:val="007F1086"/>
    <w:rsid w:val="00802E46"/>
    <w:rsid w:val="00806530"/>
    <w:rsid w:val="00807D1A"/>
    <w:rsid w:val="00810731"/>
    <w:rsid w:val="008325FB"/>
    <w:rsid w:val="00841CD7"/>
    <w:rsid w:val="00866A4D"/>
    <w:rsid w:val="0087115A"/>
    <w:rsid w:val="008938C9"/>
    <w:rsid w:val="008A3F8A"/>
    <w:rsid w:val="008B3A66"/>
    <w:rsid w:val="008C4BBB"/>
    <w:rsid w:val="008F7BF1"/>
    <w:rsid w:val="009010D4"/>
    <w:rsid w:val="00937312"/>
    <w:rsid w:val="00962BFE"/>
    <w:rsid w:val="00984BCB"/>
    <w:rsid w:val="00997DDC"/>
    <w:rsid w:val="009A32CE"/>
    <w:rsid w:val="009B439D"/>
    <w:rsid w:val="009B73ED"/>
    <w:rsid w:val="009E2357"/>
    <w:rsid w:val="009F698C"/>
    <w:rsid w:val="00A159AF"/>
    <w:rsid w:val="00A17D25"/>
    <w:rsid w:val="00A25055"/>
    <w:rsid w:val="00A50986"/>
    <w:rsid w:val="00A5377D"/>
    <w:rsid w:val="00A54E6E"/>
    <w:rsid w:val="00A65F33"/>
    <w:rsid w:val="00AA78AE"/>
    <w:rsid w:val="00AA7FDE"/>
    <w:rsid w:val="00AC6776"/>
    <w:rsid w:val="00AF352A"/>
    <w:rsid w:val="00B00DCE"/>
    <w:rsid w:val="00B51F86"/>
    <w:rsid w:val="00B6024C"/>
    <w:rsid w:val="00B9619E"/>
    <w:rsid w:val="00BB01AB"/>
    <w:rsid w:val="00BB6404"/>
    <w:rsid w:val="00BD0F47"/>
    <w:rsid w:val="00BD7DA7"/>
    <w:rsid w:val="00BF3580"/>
    <w:rsid w:val="00BF48DE"/>
    <w:rsid w:val="00C07289"/>
    <w:rsid w:val="00C37CFD"/>
    <w:rsid w:val="00CD698B"/>
    <w:rsid w:val="00CE0E4B"/>
    <w:rsid w:val="00CE52FF"/>
    <w:rsid w:val="00CE7A32"/>
    <w:rsid w:val="00CF442B"/>
    <w:rsid w:val="00D06D06"/>
    <w:rsid w:val="00D44AC1"/>
    <w:rsid w:val="00D44E2F"/>
    <w:rsid w:val="00D6052D"/>
    <w:rsid w:val="00D6128A"/>
    <w:rsid w:val="00D6138D"/>
    <w:rsid w:val="00D72E77"/>
    <w:rsid w:val="00D74B73"/>
    <w:rsid w:val="00D83C4E"/>
    <w:rsid w:val="00D92915"/>
    <w:rsid w:val="00DA31E2"/>
    <w:rsid w:val="00DC0E1F"/>
    <w:rsid w:val="00DC6368"/>
    <w:rsid w:val="00DD0F60"/>
    <w:rsid w:val="00DD443C"/>
    <w:rsid w:val="00DD57BD"/>
    <w:rsid w:val="00DF2FCD"/>
    <w:rsid w:val="00DF60A0"/>
    <w:rsid w:val="00E0681C"/>
    <w:rsid w:val="00E407C6"/>
    <w:rsid w:val="00E568BE"/>
    <w:rsid w:val="00E571EC"/>
    <w:rsid w:val="00E62F18"/>
    <w:rsid w:val="00E716D2"/>
    <w:rsid w:val="00E91231"/>
    <w:rsid w:val="00E93391"/>
    <w:rsid w:val="00EA3D77"/>
    <w:rsid w:val="00EB4A62"/>
    <w:rsid w:val="00EB566F"/>
    <w:rsid w:val="00EC6A89"/>
    <w:rsid w:val="00ED42FB"/>
    <w:rsid w:val="00F071DA"/>
    <w:rsid w:val="00F13887"/>
    <w:rsid w:val="00F24766"/>
    <w:rsid w:val="00F66C36"/>
    <w:rsid w:val="00F92E93"/>
    <w:rsid w:val="00FB62C5"/>
    <w:rsid w:val="00FB7905"/>
    <w:rsid w:val="00FC3A14"/>
    <w:rsid w:val="00FC5F4E"/>
    <w:rsid w:val="00FD7D72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C6C9D"/>
  <w15:chartTrackingRefBased/>
  <w15:docId w15:val="{3D19F0B5-5B58-4461-B7BC-888668A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60"/>
    <w:pPr>
      <w:spacing w:after="120" w:line="300" w:lineRule="auto"/>
    </w:pPr>
    <w:rPr>
      <w:color w:val="747678" w:themeColor="accent3"/>
    </w:rPr>
  </w:style>
  <w:style w:type="paragraph" w:styleId="Heading1">
    <w:name w:val="heading 1"/>
    <w:next w:val="Normal"/>
    <w:link w:val="Heading1Char"/>
    <w:uiPriority w:val="9"/>
    <w:qFormat/>
    <w:rsid w:val="001828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CF2453" w:themeColor="accent1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0414"/>
    <w:pPr>
      <w:spacing w:before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92F12"/>
    <w:pPr>
      <w:spacing w:before="40"/>
      <w:outlineLvl w:val="2"/>
    </w:pPr>
    <w:rPr>
      <w:color w:val="747678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8EF"/>
    <w:rPr>
      <w:rFonts w:asciiTheme="majorHAnsi" w:eastAsiaTheme="majorEastAsia" w:hAnsiTheme="majorHAnsi" w:cstheme="majorBidi"/>
      <w:b/>
      <w:color w:val="CF2453" w:themeColor="accent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0414"/>
    <w:rPr>
      <w:rFonts w:asciiTheme="majorHAnsi" w:eastAsiaTheme="majorEastAsia" w:hAnsiTheme="majorHAnsi" w:cstheme="majorBidi"/>
      <w:b/>
      <w:color w:val="CF2453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6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92F12"/>
    <w:rPr>
      <w:rFonts w:asciiTheme="majorHAnsi" w:eastAsiaTheme="majorEastAsia" w:hAnsiTheme="majorHAnsi" w:cstheme="majorBidi"/>
      <w:b/>
      <w:color w:val="747678" w:themeColor="accent3"/>
      <w:sz w:val="24"/>
      <w:szCs w:val="24"/>
    </w:rPr>
  </w:style>
  <w:style w:type="table" w:styleId="TableGrid">
    <w:name w:val="Table Grid"/>
    <w:basedOn w:val="TableNormal"/>
    <w:uiPriority w:val="39"/>
    <w:rsid w:val="00CE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92F12"/>
    <w:pPr>
      <w:spacing w:after="0" w:line="240" w:lineRule="auto"/>
    </w:pPr>
    <w:rPr>
      <w:color w:val="747678" w:themeColor="accent3"/>
    </w:rPr>
  </w:style>
  <w:style w:type="paragraph" w:styleId="ListParagraph">
    <w:name w:val="List Paragraph"/>
    <w:basedOn w:val="Normal"/>
    <w:uiPriority w:val="34"/>
    <w:qFormat/>
    <w:rsid w:val="006B5BBE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584320"/>
    <w:pPr>
      <w:spacing w:after="0" w:line="240" w:lineRule="auto"/>
    </w:pPr>
    <w:tblPr>
      <w:tblStyleRowBandSize w:val="1"/>
      <w:tblStyleColBandSize w:val="1"/>
      <w:tblBorders>
        <w:top w:val="single" w:sz="4" w:space="0" w:color="CF2453" w:themeColor="accent1"/>
        <w:left w:val="single" w:sz="4" w:space="0" w:color="CF2453" w:themeColor="accent1"/>
        <w:bottom w:val="single" w:sz="4" w:space="0" w:color="CF2453" w:themeColor="accent1"/>
        <w:right w:val="single" w:sz="4" w:space="0" w:color="CF24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2453" w:themeFill="accent1"/>
      </w:tcPr>
    </w:tblStylePr>
    <w:tblStylePr w:type="lastRow">
      <w:rPr>
        <w:b/>
        <w:bCs/>
      </w:rPr>
      <w:tblPr/>
      <w:tcPr>
        <w:tcBorders>
          <w:top w:val="double" w:sz="4" w:space="0" w:color="CF24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2453" w:themeColor="accent1"/>
          <w:right w:val="single" w:sz="4" w:space="0" w:color="CF2453" w:themeColor="accent1"/>
        </w:tcBorders>
      </w:tcPr>
    </w:tblStylePr>
    <w:tblStylePr w:type="band1Horz">
      <w:tblPr/>
      <w:tcPr>
        <w:tcBorders>
          <w:top w:val="single" w:sz="4" w:space="0" w:color="CF2453" w:themeColor="accent1"/>
          <w:bottom w:val="single" w:sz="4" w:space="0" w:color="CF24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2453" w:themeColor="accent1"/>
          <w:left w:val="nil"/>
        </w:tcBorders>
      </w:tcPr>
    </w:tblStylePr>
    <w:tblStylePr w:type="swCell">
      <w:tblPr/>
      <w:tcPr>
        <w:tcBorders>
          <w:top w:val="double" w:sz="4" w:space="0" w:color="CF2453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C4"/>
    <w:rPr>
      <w:color w:val="747678" w:themeColor="accent3"/>
    </w:rPr>
  </w:style>
  <w:style w:type="paragraph" w:styleId="Footer">
    <w:name w:val="footer"/>
    <w:basedOn w:val="Normal"/>
    <w:link w:val="FooterChar"/>
    <w:uiPriority w:val="99"/>
    <w:unhideWhenUsed/>
    <w:rsid w:val="006C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C4"/>
    <w:rPr>
      <w:color w:val="747678" w:themeColor="accent3"/>
    </w:rPr>
  </w:style>
  <w:style w:type="character" w:styleId="Hyperlink">
    <w:name w:val="Hyperlink"/>
    <w:basedOn w:val="DefaultParagraphFont"/>
    <w:uiPriority w:val="99"/>
    <w:unhideWhenUsed/>
    <w:rsid w:val="00D61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stem.org.uk/cpd/513973/teaching-assistants-and-send-settings-maximising-impact-and-progression-learners-scie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em.org.uk/cpd/513976/teaching-assistants-and-send-settings-maximising-impact-and-progression-learners-scienc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stem.org.uk/cpd/513975/teaching-assistants-and-send-settings-maximising-impact-and-progression-learners-sci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m.org.uk/cpd/513971/teaching-assistants-and-send-settings-maximising-impact-and-progression-learners-scie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stem.org.uk/cpd/513978/teaching-assistants-and-send-settings-maximising-impact-and-progression-learners-science" TargetMode="External"/><Relationship Id="rId10" Type="http://schemas.openxmlformats.org/officeDocument/2006/relationships/hyperlink" Target="https://www.stem.org.uk/cpd/513971/teaching-assistants-and-send-settings-maximising-impact-and-progression-learners-science" TargetMode="External"/><Relationship Id="rId19" Type="http://schemas.openxmlformats.org/officeDocument/2006/relationships/hyperlink" Target="https://www.stem.org.uk/cpd/513974/teaching-assistants-and-send-settings-maximising-impact-and-progression-learners-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m.org.uk/cpd/513971/teaching-assistants-and-send-settings-maximising-impact-and-progression-learners-science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stem.org.uk/cpd/513977/teaching-assistants-and-send-settings-maximising-impact-and-progression-learners-scienc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rtsandessexsciencehub.co.uk/" TargetMode="External"/><Relationship Id="rId1" Type="http://schemas.openxmlformats.org/officeDocument/2006/relationships/hyperlink" Target="mailto:Slp.admin@hertsandessex.hert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P">
      <a:dk1>
        <a:srgbClr val="3D3D3D"/>
      </a:dk1>
      <a:lt1>
        <a:sysClr val="window" lastClr="FFFFFF"/>
      </a:lt1>
      <a:dk2>
        <a:srgbClr val="002A4F"/>
      </a:dk2>
      <a:lt2>
        <a:srgbClr val="E7E6E6"/>
      </a:lt2>
      <a:accent1>
        <a:srgbClr val="CF2453"/>
      </a:accent1>
      <a:accent2>
        <a:srgbClr val="002A4F"/>
      </a:accent2>
      <a:accent3>
        <a:srgbClr val="747678"/>
      </a:accent3>
      <a:accent4>
        <a:srgbClr val="FECB00"/>
      </a:accent4>
      <a:accent5>
        <a:srgbClr val="00AFD8"/>
      </a:accent5>
      <a:accent6>
        <a:srgbClr val="69BE2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192A-CF49-4590-92AC-719D1E17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Fitchie</dc:creator>
  <cp:keywords/>
  <dc:description/>
  <cp:lastModifiedBy>Claire Stebbing</cp:lastModifiedBy>
  <cp:revision>2</cp:revision>
  <cp:lastPrinted>2022-09-15T15:57:00Z</cp:lastPrinted>
  <dcterms:created xsi:type="dcterms:W3CDTF">2022-09-16T12:27:00Z</dcterms:created>
  <dcterms:modified xsi:type="dcterms:W3CDTF">2022-09-16T12:27:00Z</dcterms:modified>
</cp:coreProperties>
</file>